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F37" w:rsidRDefault="00AB2290" w:rsidP="00AB2290">
      <w:pPr>
        <w:pStyle w:val="NoSpacing"/>
        <w:jc w:val="center"/>
        <w:rPr>
          <w:b/>
          <w:sz w:val="24"/>
          <w:szCs w:val="24"/>
        </w:rPr>
      </w:pPr>
      <w:r w:rsidRPr="00AB2290">
        <w:rPr>
          <w:b/>
          <w:sz w:val="24"/>
          <w:szCs w:val="24"/>
        </w:rPr>
        <w:t>Summary of advantages and limitations of FP assays</w:t>
      </w:r>
    </w:p>
    <w:p w:rsidR="00AB2290" w:rsidRPr="00AB2290" w:rsidRDefault="00AB2290" w:rsidP="00AB2290">
      <w:pPr>
        <w:pStyle w:val="NoSpacing"/>
        <w:jc w:val="center"/>
        <w:rPr>
          <w:b/>
          <w:sz w:val="24"/>
          <w:szCs w:val="24"/>
        </w:rPr>
      </w:pPr>
    </w:p>
    <w:p w:rsidR="00D76F37" w:rsidRDefault="00D76F37" w:rsidP="00D76F37">
      <w:pPr>
        <w:pStyle w:val="NoSpacing"/>
      </w:pPr>
      <w:r>
        <w:t>Advantages:</w:t>
      </w:r>
    </w:p>
    <w:p w:rsidR="00D76F37" w:rsidRDefault="00D76F37" w:rsidP="00D76F37">
      <w:pPr>
        <w:pStyle w:val="NoSpacing"/>
        <w:numPr>
          <w:ilvl w:val="0"/>
          <w:numId w:val="1"/>
        </w:numPr>
      </w:pPr>
      <w:r w:rsidRPr="00D76F37">
        <w:t xml:space="preserve">FP assays do not require separation of bound and free </w:t>
      </w:r>
      <w:proofErr w:type="spellStart"/>
      <w:r w:rsidRPr="00D76F37">
        <w:t>ligand</w:t>
      </w:r>
      <w:proofErr w:type="spellEnd"/>
      <w:r w:rsidRPr="00D76F37">
        <w:t xml:space="preserve">. This allows </w:t>
      </w:r>
      <w:proofErr w:type="spellStart"/>
      <w:r w:rsidRPr="00D76F37">
        <w:t>ligand</w:t>
      </w:r>
      <w:proofErr w:type="spellEnd"/>
      <w:r w:rsidRPr="00D76F37">
        <w:t xml:space="preserve"> binding to be quantified without perturbing the equilibrium, making it suitable for measurement of low-affinity interactions (more specifically, interactions with fast dis</w:t>
      </w:r>
      <w:r w:rsidRPr="00D76F37">
        <w:softHyphen/>
        <w:t>sociation rates).</w:t>
      </w:r>
    </w:p>
    <w:p w:rsidR="00D76F37" w:rsidRDefault="00D76F37" w:rsidP="00D76F37">
      <w:pPr>
        <w:pStyle w:val="NoSpacing"/>
        <w:numPr>
          <w:ilvl w:val="0"/>
          <w:numId w:val="1"/>
        </w:numPr>
      </w:pPr>
      <w:r w:rsidRPr="00D76F37">
        <w:t>They can</w:t>
      </w:r>
      <w:r>
        <w:t xml:space="preserve"> </w:t>
      </w:r>
      <w:r w:rsidRPr="00D76F37">
        <w:t>provide high-throughput, economi</w:t>
      </w:r>
      <w:r w:rsidRPr="00D76F37">
        <w:softHyphen/>
        <w:t>cal, rapid and convenient</w:t>
      </w:r>
      <w:r w:rsidR="005C38C7">
        <w:t xml:space="preserve"> screens for large numbers of </w:t>
      </w:r>
      <w:r w:rsidR="005C38C7" w:rsidRPr="00D76F37">
        <w:t xml:space="preserve">fluorescent </w:t>
      </w:r>
      <w:proofErr w:type="spellStart"/>
      <w:r w:rsidR="005C38C7" w:rsidRPr="00D76F37">
        <w:t>ligand</w:t>
      </w:r>
      <w:r w:rsidR="005C38C7">
        <w:t>s</w:t>
      </w:r>
      <w:proofErr w:type="spellEnd"/>
      <w:r w:rsidRPr="00D76F37">
        <w:t>.</w:t>
      </w:r>
    </w:p>
    <w:p w:rsidR="005C38C7" w:rsidRDefault="005C38C7" w:rsidP="00D76F37">
      <w:pPr>
        <w:pStyle w:val="NoSpacing"/>
        <w:numPr>
          <w:ilvl w:val="0"/>
          <w:numId w:val="1"/>
        </w:numPr>
      </w:pPr>
      <w:r w:rsidRPr="00D76F37">
        <w:t>FP assays are non-destructive, thereby allowing repetitive measurements of the same sample under different conditions (e.g., different temperatures).</w:t>
      </w:r>
    </w:p>
    <w:p w:rsidR="00D76F37" w:rsidRDefault="00D76F37" w:rsidP="00D76F37">
      <w:pPr>
        <w:pStyle w:val="NoSpacing"/>
      </w:pPr>
    </w:p>
    <w:p w:rsidR="00D76F37" w:rsidRDefault="00D76F37" w:rsidP="00D76F37">
      <w:pPr>
        <w:pStyle w:val="NoSpacing"/>
      </w:pPr>
      <w:r>
        <w:t>Disadvantages:</w:t>
      </w:r>
    </w:p>
    <w:p w:rsidR="00D76F37" w:rsidRDefault="00D76F37" w:rsidP="00D76F37">
      <w:pPr>
        <w:pStyle w:val="NoSpacing"/>
        <w:numPr>
          <w:ilvl w:val="0"/>
          <w:numId w:val="3"/>
        </w:numPr>
      </w:pPr>
      <w:r>
        <w:t>T</w:t>
      </w:r>
      <w:r w:rsidRPr="00D76F37">
        <w:t>he initial optimization of FP assays is likely to be time-consuming, thereafter they are easily auto</w:t>
      </w:r>
      <w:r w:rsidRPr="00D76F37">
        <w:softHyphen/>
        <w:t>mated.</w:t>
      </w:r>
    </w:p>
    <w:p w:rsidR="005C38C7" w:rsidRDefault="005C38C7" w:rsidP="00D76F37">
      <w:pPr>
        <w:pStyle w:val="NoSpacing"/>
        <w:numPr>
          <w:ilvl w:val="0"/>
          <w:numId w:val="3"/>
        </w:numPr>
      </w:pPr>
      <w:r w:rsidRPr="00D76F37">
        <w:t xml:space="preserve">All FP assays require a fluorescent </w:t>
      </w:r>
      <w:proofErr w:type="spellStart"/>
      <w:r w:rsidRPr="00D76F37">
        <w:t>ligand</w:t>
      </w:r>
      <w:proofErr w:type="spellEnd"/>
      <w:r w:rsidRPr="00D76F37">
        <w:t>. This may require develop</w:t>
      </w:r>
      <w:r w:rsidRPr="00D76F37">
        <w:softHyphen/>
        <w:t xml:space="preserve">ment of procedures for conjugation of the </w:t>
      </w:r>
      <w:proofErr w:type="spellStart"/>
      <w:r w:rsidRPr="00D76F37">
        <w:t>ligand</w:t>
      </w:r>
      <w:proofErr w:type="spellEnd"/>
      <w:r w:rsidRPr="00D76F37">
        <w:t xml:space="preserve"> to a reactive </w:t>
      </w:r>
      <w:proofErr w:type="spellStart"/>
      <w:r w:rsidRPr="00D76F37">
        <w:t>fluorophore</w:t>
      </w:r>
      <w:proofErr w:type="spellEnd"/>
      <w:r w:rsidRPr="00D76F37">
        <w:t xml:space="preserve"> (many of these are available from </w:t>
      </w:r>
      <w:proofErr w:type="spellStart"/>
      <w:r w:rsidRPr="00D76F37">
        <w:t>Invitrogen</w:t>
      </w:r>
      <w:proofErr w:type="spellEnd"/>
      <w:r w:rsidRPr="00D76F37">
        <w:t xml:space="preserve">, Sigma-Aldrich and other suppliers) and subsequent purification of the conjugate. It may even be necessary to synthesize a form of the </w:t>
      </w:r>
      <w:proofErr w:type="spellStart"/>
      <w:r w:rsidRPr="00D76F37">
        <w:t>ligand</w:t>
      </w:r>
      <w:proofErr w:type="spellEnd"/>
      <w:r w:rsidRPr="00D76F37">
        <w:t xml:space="preserve"> suitable for conjugation.</w:t>
      </w:r>
    </w:p>
    <w:p w:rsidR="005C38C7" w:rsidRDefault="005C38C7" w:rsidP="00D76F37">
      <w:pPr>
        <w:pStyle w:val="NoSpacing"/>
        <w:numPr>
          <w:ilvl w:val="0"/>
          <w:numId w:val="3"/>
        </w:numPr>
      </w:pPr>
      <w:proofErr w:type="spellStart"/>
      <w:r>
        <w:t>F</w:t>
      </w:r>
      <w:r w:rsidRPr="00D76F37">
        <w:t>luorophores</w:t>
      </w:r>
      <w:proofErr w:type="spellEnd"/>
      <w:r w:rsidRPr="00D76F37">
        <w:t xml:space="preserve"> are likely to affect the interaction. In the worst-case scenario, it may be impracticable to obtain a fluorescent </w:t>
      </w:r>
      <w:proofErr w:type="spellStart"/>
      <w:r w:rsidRPr="00D76F37">
        <w:t>ligand</w:t>
      </w:r>
      <w:proofErr w:type="spellEnd"/>
      <w:r w:rsidRPr="00D76F37">
        <w:t xml:space="preserve"> that interacts effectively with a target protein; FP would then be impossible.</w:t>
      </w:r>
    </w:p>
    <w:p w:rsidR="00D76F37" w:rsidRDefault="005C38C7" w:rsidP="00D76F37">
      <w:pPr>
        <w:pStyle w:val="NoSpacing"/>
        <w:numPr>
          <w:ilvl w:val="0"/>
          <w:numId w:val="3"/>
        </w:numPr>
      </w:pPr>
      <w:r>
        <w:t>Other meth</w:t>
      </w:r>
      <w:r>
        <w:softHyphen/>
        <w:t>ods, such as ITC,</w:t>
      </w:r>
      <w:r w:rsidR="00D76F37" w:rsidRPr="00D76F37">
        <w:t xml:space="preserve"> can provide more direct, and perhaps more reliable, access to these thermodynamic characteristics of protein-</w:t>
      </w:r>
      <w:proofErr w:type="spellStart"/>
      <w:r w:rsidR="00D76F37" w:rsidRPr="00D76F37">
        <w:t>ligand</w:t>
      </w:r>
      <w:proofErr w:type="spellEnd"/>
      <w:r w:rsidR="00D76F37" w:rsidRPr="00D76F37">
        <w:t xml:space="preserve"> interactions</w:t>
      </w:r>
      <w:r w:rsidR="00AB2290">
        <w:t>.</w:t>
      </w:r>
      <w:r w:rsidR="00D76F37" w:rsidRPr="00D76F37">
        <w:t xml:space="preserve"> </w:t>
      </w:r>
    </w:p>
    <w:p w:rsidR="000C78AE" w:rsidRDefault="000C78AE" w:rsidP="000C78AE">
      <w:pPr>
        <w:pStyle w:val="NoSpacing"/>
      </w:pPr>
    </w:p>
    <w:p w:rsidR="002D35B1" w:rsidRDefault="002D35B1" w:rsidP="000C78AE">
      <w:pPr>
        <w:pStyle w:val="NoSpacing"/>
      </w:pPr>
    </w:p>
    <w:p w:rsidR="00131742" w:rsidRDefault="000C78AE" w:rsidP="00131742">
      <w:pPr>
        <w:autoSpaceDE w:val="0"/>
        <w:autoSpaceDN w:val="0"/>
        <w:adjustRightInd w:val="0"/>
        <w:spacing w:after="0" w:line="240" w:lineRule="auto"/>
        <w:jc w:val="center"/>
        <w:rPr>
          <w:rFonts w:cs="Times New Roman"/>
          <w:b/>
          <w:sz w:val="24"/>
          <w:szCs w:val="24"/>
        </w:rPr>
      </w:pPr>
      <w:r w:rsidRPr="00131742">
        <w:rPr>
          <w:rFonts w:cs="Times New Roman"/>
          <w:b/>
          <w:sz w:val="24"/>
          <w:szCs w:val="24"/>
        </w:rPr>
        <w:t xml:space="preserve">Differential scanning </w:t>
      </w:r>
      <w:proofErr w:type="spellStart"/>
      <w:r w:rsidRPr="00131742">
        <w:rPr>
          <w:rFonts w:cs="Times New Roman"/>
          <w:b/>
          <w:sz w:val="24"/>
          <w:szCs w:val="24"/>
        </w:rPr>
        <w:t>calorimetry</w:t>
      </w:r>
      <w:proofErr w:type="spellEnd"/>
      <w:r w:rsidRPr="00131742">
        <w:rPr>
          <w:rFonts w:cs="Times New Roman"/>
          <w:b/>
          <w:sz w:val="24"/>
          <w:szCs w:val="24"/>
        </w:rPr>
        <w:t xml:space="preserve"> (DSC)</w:t>
      </w:r>
    </w:p>
    <w:p w:rsidR="00131742" w:rsidRPr="00131742" w:rsidRDefault="00131742" w:rsidP="00131742">
      <w:pPr>
        <w:autoSpaceDE w:val="0"/>
        <w:autoSpaceDN w:val="0"/>
        <w:adjustRightInd w:val="0"/>
        <w:spacing w:after="0" w:line="240" w:lineRule="auto"/>
        <w:jc w:val="center"/>
        <w:rPr>
          <w:rFonts w:cs="Times New Roman"/>
          <w:b/>
          <w:sz w:val="24"/>
          <w:szCs w:val="24"/>
        </w:rPr>
      </w:pPr>
    </w:p>
    <w:p w:rsidR="000C78AE" w:rsidRDefault="002D35B1" w:rsidP="002D35B1">
      <w:pPr>
        <w:pStyle w:val="NoSpacing"/>
        <w:rPr>
          <w:rFonts w:cs="Times New Roman"/>
        </w:rPr>
      </w:pPr>
      <w:r>
        <w:t xml:space="preserve">The DSC method for measuring binding constant is indirect, compared for example to ITC, because the estimate binding Kb is made from measurements on the equilibrium between folded and unfolded protein rather than that between bound and unbound forms. </w:t>
      </w:r>
      <w:r w:rsidR="00131742">
        <w:rPr>
          <w:rFonts w:cs="Times New Roman"/>
        </w:rPr>
        <w:t xml:space="preserve">DSC </w:t>
      </w:r>
      <w:r w:rsidR="000C78AE" w:rsidRPr="000C78AE">
        <w:rPr>
          <w:rFonts w:cs="Times New Roman"/>
        </w:rPr>
        <w:t>is a technique able to study thermally induced transitions and particularly, the conformational transitions of biological macromolecules (for example between the folded and the unfolded structure of a protein or between single and double stranded DNA). DSC measures the excess heat capacity of a solution (Cp) of the molecule of interest as</w:t>
      </w:r>
      <w:r w:rsidR="000C78AE">
        <w:rPr>
          <w:rFonts w:cs="Times New Roman"/>
        </w:rPr>
        <w:t xml:space="preserve"> a function of temperature (Figure below</w:t>
      </w:r>
      <w:r w:rsidR="000C78AE" w:rsidRPr="000C78AE">
        <w:rPr>
          <w:rFonts w:cs="Times New Roman"/>
        </w:rPr>
        <w:t xml:space="preserve">). The transition is recognized as a sharp endothermic peak </w:t>
      </w:r>
      <w:proofErr w:type="spellStart"/>
      <w:r w:rsidR="000C78AE" w:rsidRPr="000C78AE">
        <w:rPr>
          <w:rFonts w:cs="Times New Roman"/>
        </w:rPr>
        <w:t>centred</w:t>
      </w:r>
      <w:proofErr w:type="spellEnd"/>
      <w:r w:rsidR="000C78AE" w:rsidRPr="000C78AE">
        <w:rPr>
          <w:rFonts w:cs="Times New Roman"/>
        </w:rPr>
        <w:t xml:space="preserve"> at Tm and the maximum in Cp occurs directly at Tm. Integration of the Cp versus T curve yields the transition enthalpy (</w:t>
      </w:r>
      <w:r w:rsidR="000C78AE" w:rsidRPr="000C78AE">
        <w:rPr>
          <w:rFonts w:ascii="Symbol" w:hAnsi="Symbol" w:cs="Symbol"/>
        </w:rPr>
        <w:t></w:t>
      </w:r>
      <w:proofErr w:type="spellStart"/>
      <w:r w:rsidR="000C78AE" w:rsidRPr="000C78AE">
        <w:rPr>
          <w:rFonts w:cs="Times New Roman"/>
        </w:rPr>
        <w:t>H°m</w:t>
      </w:r>
      <w:proofErr w:type="spellEnd"/>
      <w:r w:rsidR="000C78AE" w:rsidRPr="000C78AE">
        <w:rPr>
          <w:rFonts w:cs="Times New Roman"/>
        </w:rPr>
        <w:t xml:space="preserve">) and the shift in the baseline yields the </w:t>
      </w:r>
      <w:r w:rsidR="000C78AE" w:rsidRPr="000C78AE">
        <w:rPr>
          <w:rFonts w:ascii="Symbol" w:hAnsi="Symbol" w:cs="Times New Roman"/>
        </w:rPr>
        <w:t></w:t>
      </w:r>
      <w:r w:rsidR="000C78AE" w:rsidRPr="000C78AE">
        <w:rPr>
          <w:rFonts w:cs="Times New Roman"/>
        </w:rPr>
        <w:t xml:space="preserve">Cp. DSC is the only method for the direct determination of </w:t>
      </w:r>
      <w:proofErr w:type="spellStart"/>
      <w:r w:rsidR="000C78AE" w:rsidRPr="000C78AE">
        <w:rPr>
          <w:rFonts w:ascii="Symbol" w:hAnsi="Symbol" w:cs="Times New Roman"/>
        </w:rPr>
        <w:t></w:t>
      </w:r>
      <w:r w:rsidR="000C78AE" w:rsidRPr="000C78AE">
        <w:rPr>
          <w:rFonts w:cs="Times New Roman"/>
        </w:rPr>
        <w:t>H°m</w:t>
      </w:r>
      <w:proofErr w:type="spellEnd"/>
      <w:r w:rsidR="000C78AE" w:rsidRPr="000C78AE">
        <w:rPr>
          <w:rFonts w:cs="Times New Roman"/>
        </w:rPr>
        <w:t>.</w:t>
      </w:r>
    </w:p>
    <w:p w:rsidR="000C78AE" w:rsidRPr="000C78AE" w:rsidRDefault="000C78AE" w:rsidP="000C78AE">
      <w:pPr>
        <w:autoSpaceDE w:val="0"/>
        <w:autoSpaceDN w:val="0"/>
        <w:adjustRightInd w:val="0"/>
        <w:spacing w:after="0" w:line="240" w:lineRule="auto"/>
        <w:jc w:val="center"/>
        <w:rPr>
          <w:rFonts w:cs="Times New Roman"/>
        </w:rPr>
      </w:pPr>
      <w:r>
        <w:rPr>
          <w:rFonts w:cs="Times New Roman"/>
          <w:noProof/>
        </w:rPr>
        <w:drawing>
          <wp:inline distT="0" distB="0" distL="0" distR="0">
            <wp:extent cx="3086100" cy="20618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088465" cy="2063385"/>
                    </a:xfrm>
                    <a:prstGeom prst="rect">
                      <a:avLst/>
                    </a:prstGeom>
                    <a:noFill/>
                    <a:ln w="9525">
                      <a:noFill/>
                      <a:miter lim="800000"/>
                      <a:headEnd/>
                      <a:tailEnd/>
                    </a:ln>
                  </pic:spPr>
                </pic:pic>
              </a:graphicData>
            </a:graphic>
          </wp:inline>
        </w:drawing>
      </w:r>
    </w:p>
    <w:p w:rsidR="00D333BC" w:rsidRDefault="00D333BC" w:rsidP="00F21F2E">
      <w:pPr>
        <w:pStyle w:val="NoSpacing"/>
        <w:ind w:left="-540"/>
        <w:jc w:val="center"/>
      </w:pPr>
      <w:r>
        <w:rPr>
          <w:noProof/>
        </w:rPr>
        <w:lastRenderedPageBreak/>
        <w:drawing>
          <wp:inline distT="0" distB="0" distL="0" distR="0">
            <wp:extent cx="6418631" cy="8248650"/>
            <wp:effectExtent l="19050" t="0" r="1219" b="0"/>
            <wp:docPr id="1" name="Picture 0" descr="Comparison of methods used to measure ligand binding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rison of methods used to measure ligand binding_2011.jpg"/>
                    <pic:cNvPicPr/>
                  </pic:nvPicPr>
                  <pic:blipFill>
                    <a:blip r:embed="rId6" cstate="print"/>
                    <a:stretch>
                      <a:fillRect/>
                    </a:stretch>
                  </pic:blipFill>
                  <pic:spPr>
                    <a:xfrm>
                      <a:off x="0" y="0"/>
                      <a:ext cx="6419948" cy="8250342"/>
                    </a:xfrm>
                    <a:prstGeom prst="rect">
                      <a:avLst/>
                    </a:prstGeom>
                  </pic:spPr>
                </pic:pic>
              </a:graphicData>
            </a:graphic>
          </wp:inline>
        </w:drawing>
      </w:r>
    </w:p>
    <w:p w:rsidR="00D90353" w:rsidRDefault="00D90353" w:rsidP="00D333BC">
      <w:pPr>
        <w:pStyle w:val="NoSpacing"/>
        <w:ind w:left="360"/>
      </w:pPr>
    </w:p>
    <w:p w:rsidR="00F21F2E" w:rsidRPr="00F21F2E" w:rsidRDefault="00F21F2E" w:rsidP="00D333BC">
      <w:pPr>
        <w:pStyle w:val="NoSpacing"/>
        <w:ind w:left="360"/>
        <w:rPr>
          <w:b/>
        </w:rPr>
      </w:pPr>
      <w:r w:rsidRPr="00F21F2E">
        <w:rPr>
          <w:b/>
        </w:rPr>
        <w:lastRenderedPageBreak/>
        <w:t>References</w:t>
      </w:r>
    </w:p>
    <w:p w:rsidR="00F21F2E" w:rsidRDefault="00F21F2E" w:rsidP="00F21F2E">
      <w:pPr>
        <w:pStyle w:val="NoSpacing"/>
        <w:numPr>
          <w:ilvl w:val="0"/>
          <w:numId w:val="4"/>
        </w:numPr>
      </w:pPr>
      <w:r>
        <w:t>Nature Protocols (2011) 6(3): 365-387.</w:t>
      </w:r>
    </w:p>
    <w:p w:rsidR="00F21F2E" w:rsidRDefault="00F21F2E" w:rsidP="00F21F2E">
      <w:pPr>
        <w:pStyle w:val="NoSpacing"/>
        <w:numPr>
          <w:ilvl w:val="0"/>
          <w:numId w:val="4"/>
        </w:numPr>
      </w:pPr>
      <w:r>
        <w:t xml:space="preserve"> Int. J. Mol. Sci. (2009) 10: 2752-2762.</w:t>
      </w:r>
    </w:p>
    <w:p w:rsidR="00F21F2E" w:rsidRDefault="00F21F2E" w:rsidP="00F21F2E">
      <w:pPr>
        <w:pStyle w:val="NoSpacing"/>
        <w:numPr>
          <w:ilvl w:val="0"/>
          <w:numId w:val="4"/>
        </w:numPr>
      </w:pPr>
      <w:r>
        <w:t>Enzyme Engineering Methods in Molecular Biology (2013) 978: 21-30.</w:t>
      </w:r>
    </w:p>
    <w:p w:rsidR="00F21F2E" w:rsidRDefault="00F21F2E" w:rsidP="00F21F2E">
      <w:pPr>
        <w:pStyle w:val="NoSpacing"/>
        <w:numPr>
          <w:ilvl w:val="0"/>
          <w:numId w:val="4"/>
        </w:numPr>
      </w:pPr>
      <w:r>
        <w:t>Review of Scientific Instruments (2012) 83: 105104.</w:t>
      </w:r>
    </w:p>
    <w:p w:rsidR="00F21F2E" w:rsidRDefault="00F21F2E" w:rsidP="00F21F2E">
      <w:pPr>
        <w:pStyle w:val="NoSpacing"/>
        <w:numPr>
          <w:ilvl w:val="0"/>
          <w:numId w:val="4"/>
        </w:numPr>
      </w:pPr>
      <w:r>
        <w:t>Methods (2009) 47: 198-205.</w:t>
      </w:r>
    </w:p>
    <w:p w:rsidR="00F21F2E" w:rsidRDefault="00F21F2E" w:rsidP="00F21F2E">
      <w:pPr>
        <w:pStyle w:val="NoSpacing"/>
        <w:numPr>
          <w:ilvl w:val="0"/>
          <w:numId w:val="4"/>
        </w:numPr>
      </w:pPr>
      <w:r>
        <w:t>Current Medicinal Chemistry (2005) 12: 2011-2020.</w:t>
      </w:r>
    </w:p>
    <w:p w:rsidR="00F21F2E" w:rsidRDefault="004439BE" w:rsidP="00F21F2E">
      <w:pPr>
        <w:pStyle w:val="NoSpacing"/>
        <w:numPr>
          <w:ilvl w:val="0"/>
          <w:numId w:val="4"/>
        </w:numPr>
      </w:pPr>
      <w:r>
        <w:t>Current opinion in Structural Biology (2001) 11: 560-566.</w:t>
      </w:r>
    </w:p>
    <w:sectPr w:rsidR="00F21F2E" w:rsidSect="002D35B1">
      <w:pgSz w:w="12240" w:h="15840"/>
      <w:pgMar w:top="1170" w:right="144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92663"/>
    <w:multiLevelType w:val="hybridMultilevel"/>
    <w:tmpl w:val="E056F1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51EA2"/>
    <w:multiLevelType w:val="hybridMultilevel"/>
    <w:tmpl w:val="EA2C5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1C6DA1"/>
    <w:multiLevelType w:val="hybridMultilevel"/>
    <w:tmpl w:val="F6BABFD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6F99167F"/>
    <w:multiLevelType w:val="hybridMultilevel"/>
    <w:tmpl w:val="76A05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6F37"/>
    <w:rsid w:val="000C78AE"/>
    <w:rsid w:val="00131742"/>
    <w:rsid w:val="002B5A49"/>
    <w:rsid w:val="002D35B1"/>
    <w:rsid w:val="004439BE"/>
    <w:rsid w:val="005C38C7"/>
    <w:rsid w:val="006978F0"/>
    <w:rsid w:val="00AB2290"/>
    <w:rsid w:val="00B069F4"/>
    <w:rsid w:val="00B36F20"/>
    <w:rsid w:val="00B60D05"/>
    <w:rsid w:val="00D333BC"/>
    <w:rsid w:val="00D76F37"/>
    <w:rsid w:val="00D90353"/>
    <w:rsid w:val="00F21F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5">
    <w:name w:val="A5"/>
    <w:uiPriority w:val="99"/>
    <w:rsid w:val="00D76F37"/>
    <w:rPr>
      <w:rFonts w:cs="Minion"/>
      <w:color w:val="000000"/>
      <w:sz w:val="11"/>
      <w:szCs w:val="11"/>
    </w:rPr>
  </w:style>
  <w:style w:type="character" w:customStyle="1" w:styleId="A6">
    <w:name w:val="A6"/>
    <w:uiPriority w:val="99"/>
    <w:rsid w:val="00D76F37"/>
    <w:rPr>
      <w:rFonts w:cs="Minion"/>
      <w:color w:val="000000"/>
      <w:sz w:val="11"/>
      <w:szCs w:val="11"/>
    </w:rPr>
  </w:style>
  <w:style w:type="paragraph" w:styleId="NoSpacing">
    <w:name w:val="No Spacing"/>
    <w:uiPriority w:val="1"/>
    <w:qFormat/>
    <w:rsid w:val="00D76F37"/>
    <w:pPr>
      <w:spacing w:after="0" w:line="240" w:lineRule="auto"/>
    </w:pPr>
  </w:style>
  <w:style w:type="paragraph" w:styleId="BalloonText">
    <w:name w:val="Balloon Text"/>
    <w:basedOn w:val="Normal"/>
    <w:link w:val="BalloonTextChar"/>
    <w:uiPriority w:val="99"/>
    <w:semiHidden/>
    <w:unhideWhenUsed/>
    <w:rsid w:val="00D33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3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6161208">
      <w:bodyDiv w:val="1"/>
      <w:marLeft w:val="0"/>
      <w:marRight w:val="0"/>
      <w:marTop w:val="0"/>
      <w:marBottom w:val="0"/>
      <w:divBdr>
        <w:top w:val="none" w:sz="0" w:space="0" w:color="auto"/>
        <w:left w:val="none" w:sz="0" w:space="0" w:color="auto"/>
        <w:bottom w:val="none" w:sz="0" w:space="0" w:color="auto"/>
        <w:right w:val="none" w:sz="0" w:space="0" w:color="auto"/>
      </w:divBdr>
      <w:divsChild>
        <w:div w:id="516578855">
          <w:marLeft w:val="0"/>
          <w:marRight w:val="0"/>
          <w:marTop w:val="0"/>
          <w:marBottom w:val="0"/>
          <w:divBdr>
            <w:top w:val="none" w:sz="0" w:space="0" w:color="auto"/>
            <w:left w:val="none" w:sz="0" w:space="0" w:color="auto"/>
            <w:bottom w:val="none" w:sz="0" w:space="0" w:color="auto"/>
            <w:right w:val="none" w:sz="0" w:space="0" w:color="auto"/>
          </w:divBdr>
          <w:divsChild>
            <w:div w:id="1207066431">
              <w:marLeft w:val="0"/>
              <w:marRight w:val="0"/>
              <w:marTop w:val="0"/>
              <w:marBottom w:val="0"/>
              <w:divBdr>
                <w:top w:val="none" w:sz="0" w:space="0" w:color="auto"/>
                <w:left w:val="none" w:sz="0" w:space="0" w:color="auto"/>
                <w:bottom w:val="none" w:sz="0" w:space="0" w:color="auto"/>
                <w:right w:val="none" w:sz="0" w:space="0" w:color="auto"/>
              </w:divBdr>
              <w:divsChild>
                <w:div w:id="683671844">
                  <w:marLeft w:val="0"/>
                  <w:marRight w:val="0"/>
                  <w:marTop w:val="0"/>
                  <w:marBottom w:val="0"/>
                  <w:divBdr>
                    <w:top w:val="none" w:sz="0" w:space="0" w:color="auto"/>
                    <w:left w:val="none" w:sz="0" w:space="0" w:color="auto"/>
                    <w:bottom w:val="none" w:sz="0" w:space="0" w:color="auto"/>
                    <w:right w:val="none" w:sz="0" w:space="0" w:color="auto"/>
                  </w:divBdr>
                  <w:divsChild>
                    <w:div w:id="916478536">
                      <w:marLeft w:val="0"/>
                      <w:marRight w:val="0"/>
                      <w:marTop w:val="0"/>
                      <w:marBottom w:val="0"/>
                      <w:divBdr>
                        <w:top w:val="none" w:sz="0" w:space="0" w:color="auto"/>
                        <w:left w:val="none" w:sz="0" w:space="0" w:color="auto"/>
                        <w:bottom w:val="none" w:sz="0" w:space="0" w:color="auto"/>
                        <w:right w:val="none" w:sz="0" w:space="0" w:color="auto"/>
                      </w:divBdr>
                      <w:divsChild>
                        <w:div w:id="1061824940">
                          <w:marLeft w:val="0"/>
                          <w:marRight w:val="0"/>
                          <w:marTop w:val="0"/>
                          <w:marBottom w:val="0"/>
                          <w:divBdr>
                            <w:top w:val="none" w:sz="0" w:space="0" w:color="auto"/>
                            <w:left w:val="none" w:sz="0" w:space="0" w:color="auto"/>
                            <w:bottom w:val="none" w:sz="0" w:space="0" w:color="auto"/>
                            <w:right w:val="none" w:sz="0" w:space="0" w:color="auto"/>
                          </w:divBdr>
                          <w:divsChild>
                            <w:div w:id="1072895306">
                              <w:marLeft w:val="0"/>
                              <w:marRight w:val="0"/>
                              <w:marTop w:val="0"/>
                              <w:marBottom w:val="0"/>
                              <w:divBdr>
                                <w:top w:val="none" w:sz="0" w:space="0" w:color="auto"/>
                                <w:left w:val="none" w:sz="0" w:space="0" w:color="auto"/>
                                <w:bottom w:val="none" w:sz="0" w:space="0" w:color="auto"/>
                                <w:right w:val="none" w:sz="0" w:space="0" w:color="auto"/>
                              </w:divBdr>
                              <w:divsChild>
                                <w:div w:id="274484364">
                                  <w:marLeft w:val="0"/>
                                  <w:marRight w:val="0"/>
                                  <w:marTop w:val="0"/>
                                  <w:marBottom w:val="0"/>
                                  <w:divBdr>
                                    <w:top w:val="none" w:sz="0" w:space="0" w:color="auto"/>
                                    <w:left w:val="none" w:sz="0" w:space="0" w:color="auto"/>
                                    <w:bottom w:val="none" w:sz="0" w:space="0" w:color="auto"/>
                                    <w:right w:val="none" w:sz="0" w:space="0" w:color="auto"/>
                                  </w:divBdr>
                                  <w:divsChild>
                                    <w:div w:id="399255925">
                                      <w:marLeft w:val="0"/>
                                      <w:marRight w:val="0"/>
                                      <w:marTop w:val="0"/>
                                      <w:marBottom w:val="0"/>
                                      <w:divBdr>
                                        <w:top w:val="none" w:sz="0" w:space="0" w:color="auto"/>
                                        <w:left w:val="none" w:sz="0" w:space="0" w:color="auto"/>
                                        <w:bottom w:val="none" w:sz="0" w:space="0" w:color="auto"/>
                                        <w:right w:val="none" w:sz="0" w:space="0" w:color="auto"/>
                                      </w:divBdr>
                                      <w:divsChild>
                                        <w:div w:id="649404839">
                                          <w:marLeft w:val="0"/>
                                          <w:marRight w:val="0"/>
                                          <w:marTop w:val="0"/>
                                          <w:marBottom w:val="0"/>
                                          <w:divBdr>
                                            <w:top w:val="none" w:sz="0" w:space="0" w:color="auto"/>
                                            <w:left w:val="none" w:sz="0" w:space="0" w:color="auto"/>
                                            <w:bottom w:val="none" w:sz="0" w:space="0" w:color="auto"/>
                                            <w:right w:val="none" w:sz="0" w:space="0" w:color="auto"/>
                                          </w:divBdr>
                                          <w:divsChild>
                                            <w:div w:id="474108514">
                                              <w:marLeft w:val="0"/>
                                              <w:marRight w:val="0"/>
                                              <w:marTop w:val="0"/>
                                              <w:marBottom w:val="0"/>
                                              <w:divBdr>
                                                <w:top w:val="none" w:sz="0" w:space="0" w:color="auto"/>
                                                <w:left w:val="none" w:sz="0" w:space="0" w:color="auto"/>
                                                <w:bottom w:val="none" w:sz="0" w:space="0" w:color="auto"/>
                                                <w:right w:val="none" w:sz="0" w:space="0" w:color="auto"/>
                                              </w:divBdr>
                                              <w:divsChild>
                                                <w:div w:id="997079862">
                                                  <w:marLeft w:val="0"/>
                                                  <w:marRight w:val="0"/>
                                                  <w:marTop w:val="0"/>
                                                  <w:marBottom w:val="0"/>
                                                  <w:divBdr>
                                                    <w:top w:val="none" w:sz="0" w:space="0" w:color="auto"/>
                                                    <w:left w:val="none" w:sz="0" w:space="0" w:color="auto"/>
                                                    <w:bottom w:val="none" w:sz="0" w:space="0" w:color="auto"/>
                                                    <w:right w:val="none" w:sz="0" w:space="0" w:color="auto"/>
                                                  </w:divBdr>
                                                  <w:divsChild>
                                                    <w:div w:id="266431877">
                                                      <w:marLeft w:val="0"/>
                                                      <w:marRight w:val="0"/>
                                                      <w:marTop w:val="0"/>
                                                      <w:marBottom w:val="0"/>
                                                      <w:divBdr>
                                                        <w:top w:val="none" w:sz="0" w:space="0" w:color="auto"/>
                                                        <w:left w:val="none" w:sz="0" w:space="0" w:color="auto"/>
                                                        <w:bottom w:val="none" w:sz="0" w:space="0" w:color="auto"/>
                                                        <w:right w:val="none" w:sz="0" w:space="0" w:color="auto"/>
                                                      </w:divBdr>
                                                      <w:divsChild>
                                                        <w:div w:id="1692560228">
                                                          <w:marLeft w:val="0"/>
                                                          <w:marRight w:val="0"/>
                                                          <w:marTop w:val="0"/>
                                                          <w:marBottom w:val="0"/>
                                                          <w:divBdr>
                                                            <w:top w:val="none" w:sz="0" w:space="0" w:color="auto"/>
                                                            <w:left w:val="none" w:sz="0" w:space="0" w:color="auto"/>
                                                            <w:bottom w:val="none" w:sz="0" w:space="0" w:color="auto"/>
                                                            <w:right w:val="none" w:sz="0" w:space="0" w:color="auto"/>
                                                          </w:divBdr>
                                                          <w:divsChild>
                                                            <w:div w:id="1457026582">
                                                              <w:marLeft w:val="0"/>
                                                              <w:marRight w:val="0"/>
                                                              <w:marTop w:val="0"/>
                                                              <w:marBottom w:val="0"/>
                                                              <w:divBdr>
                                                                <w:top w:val="none" w:sz="0" w:space="0" w:color="auto"/>
                                                                <w:left w:val="none" w:sz="0" w:space="0" w:color="auto"/>
                                                                <w:bottom w:val="none" w:sz="0" w:space="0" w:color="auto"/>
                                                                <w:right w:val="none" w:sz="0" w:space="0" w:color="auto"/>
                                                              </w:divBdr>
                                                              <w:divsChild>
                                                                <w:div w:id="174271119">
                                                                  <w:marLeft w:val="0"/>
                                                                  <w:marRight w:val="0"/>
                                                                  <w:marTop w:val="0"/>
                                                                  <w:marBottom w:val="0"/>
                                                                  <w:divBdr>
                                                                    <w:top w:val="none" w:sz="0" w:space="0" w:color="auto"/>
                                                                    <w:left w:val="none" w:sz="0" w:space="0" w:color="auto"/>
                                                                    <w:bottom w:val="none" w:sz="0" w:space="0" w:color="auto"/>
                                                                    <w:right w:val="none" w:sz="0" w:space="0" w:color="auto"/>
                                                                  </w:divBdr>
                                                                  <w:divsChild>
                                                                    <w:div w:id="2066374676">
                                                                      <w:marLeft w:val="0"/>
                                                                      <w:marRight w:val="0"/>
                                                                      <w:marTop w:val="0"/>
                                                                      <w:marBottom w:val="0"/>
                                                                      <w:divBdr>
                                                                        <w:top w:val="none" w:sz="0" w:space="0" w:color="auto"/>
                                                                        <w:left w:val="none" w:sz="0" w:space="0" w:color="auto"/>
                                                                        <w:bottom w:val="none" w:sz="0" w:space="0" w:color="auto"/>
                                                                        <w:right w:val="none" w:sz="0" w:space="0" w:color="auto"/>
                                                                      </w:divBdr>
                                                                      <w:divsChild>
                                                                        <w:div w:id="517232039">
                                                                          <w:marLeft w:val="0"/>
                                                                          <w:marRight w:val="0"/>
                                                                          <w:marTop w:val="0"/>
                                                                          <w:marBottom w:val="0"/>
                                                                          <w:divBdr>
                                                                            <w:top w:val="none" w:sz="0" w:space="0" w:color="auto"/>
                                                                            <w:left w:val="none" w:sz="0" w:space="0" w:color="auto"/>
                                                                            <w:bottom w:val="none" w:sz="0" w:space="0" w:color="auto"/>
                                                                            <w:right w:val="none" w:sz="0" w:space="0" w:color="auto"/>
                                                                          </w:divBdr>
                                                                        </w:div>
                                                                        <w:div w:id="219295462">
                                                                          <w:marLeft w:val="0"/>
                                                                          <w:marRight w:val="0"/>
                                                                          <w:marTop w:val="0"/>
                                                                          <w:marBottom w:val="0"/>
                                                                          <w:divBdr>
                                                                            <w:top w:val="none" w:sz="0" w:space="0" w:color="auto"/>
                                                                            <w:left w:val="none" w:sz="0" w:space="0" w:color="auto"/>
                                                                            <w:bottom w:val="none" w:sz="0" w:space="0" w:color="auto"/>
                                                                            <w:right w:val="none" w:sz="0" w:space="0" w:color="auto"/>
                                                                          </w:divBdr>
                                                                        </w:div>
                                                                        <w:div w:id="1000428005">
                                                                          <w:marLeft w:val="0"/>
                                                                          <w:marRight w:val="0"/>
                                                                          <w:marTop w:val="0"/>
                                                                          <w:marBottom w:val="0"/>
                                                                          <w:divBdr>
                                                                            <w:top w:val="none" w:sz="0" w:space="0" w:color="auto"/>
                                                                            <w:left w:val="none" w:sz="0" w:space="0" w:color="auto"/>
                                                                            <w:bottom w:val="none" w:sz="0" w:space="0" w:color="auto"/>
                                                                            <w:right w:val="none" w:sz="0" w:space="0" w:color="auto"/>
                                                                          </w:divBdr>
                                                                        </w:div>
                                                                        <w:div w:id="1560704746">
                                                                          <w:marLeft w:val="0"/>
                                                                          <w:marRight w:val="0"/>
                                                                          <w:marTop w:val="0"/>
                                                                          <w:marBottom w:val="0"/>
                                                                          <w:divBdr>
                                                                            <w:top w:val="none" w:sz="0" w:space="0" w:color="auto"/>
                                                                            <w:left w:val="none" w:sz="0" w:space="0" w:color="auto"/>
                                                                            <w:bottom w:val="none" w:sz="0" w:space="0" w:color="auto"/>
                                                                            <w:right w:val="none" w:sz="0" w:space="0" w:color="auto"/>
                                                                          </w:divBdr>
                                                                        </w:div>
                                                                        <w:div w:id="226037723">
                                                                          <w:marLeft w:val="0"/>
                                                                          <w:marRight w:val="0"/>
                                                                          <w:marTop w:val="0"/>
                                                                          <w:marBottom w:val="0"/>
                                                                          <w:divBdr>
                                                                            <w:top w:val="none" w:sz="0" w:space="0" w:color="auto"/>
                                                                            <w:left w:val="none" w:sz="0" w:space="0" w:color="auto"/>
                                                                            <w:bottom w:val="none" w:sz="0" w:space="0" w:color="auto"/>
                                                                            <w:right w:val="none" w:sz="0" w:space="0" w:color="auto"/>
                                                                          </w:divBdr>
                                                                        </w:div>
                                                                        <w:div w:id="15591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Xiangying Guan</dc:creator>
  <cp:lastModifiedBy>xguan</cp:lastModifiedBy>
  <cp:revision>2</cp:revision>
  <dcterms:created xsi:type="dcterms:W3CDTF">2013-11-18T15:23:00Z</dcterms:created>
  <dcterms:modified xsi:type="dcterms:W3CDTF">2013-11-18T15:23:00Z</dcterms:modified>
</cp:coreProperties>
</file>